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98" w:rsidRPr="001B2490" w:rsidRDefault="00FD1F98" w:rsidP="00D02658">
      <w:pPr>
        <w:pStyle w:val="1"/>
        <w:numPr>
          <w:ilvl w:val="0"/>
          <w:numId w:val="0"/>
        </w:numPr>
        <w:spacing w:before="240"/>
        <w:ind w:firstLine="284"/>
        <w:rPr>
          <w:rFonts w:eastAsia="Arial Unicode MS" w:cs="Arial"/>
          <w:lang w:val="ru-RU"/>
        </w:rPr>
      </w:pPr>
      <w:bookmarkStart w:id="0" w:name="_Toc159952399"/>
      <w:r w:rsidRPr="001B2490">
        <w:rPr>
          <w:rFonts w:eastAsia="Arial Unicode MS" w:cs="Arial"/>
          <w:lang w:val="ru-RU"/>
        </w:rPr>
        <w:t>Операции со связанными сторонами</w:t>
      </w:r>
      <w:bookmarkEnd w:id="0"/>
    </w:p>
    <w:p w:rsidR="00FD1F98" w:rsidRPr="001B2490" w:rsidRDefault="00FD1F98" w:rsidP="00D02658">
      <w:pPr>
        <w:pStyle w:val="ABC-paragrahinNotes"/>
        <w:ind w:firstLine="284"/>
        <w:rPr>
          <w:rFonts w:ascii="Arial" w:hAnsi="Arial" w:cs="Arial"/>
          <w:sz w:val="18"/>
          <w:lang w:val="ru-RU"/>
        </w:rPr>
      </w:pPr>
      <w:r w:rsidRPr="001B2490">
        <w:rPr>
          <w:rFonts w:ascii="Arial" w:hAnsi="Arial" w:cs="Arial"/>
          <w:sz w:val="18"/>
          <w:lang w:val="ru-RU"/>
        </w:rPr>
        <w:t xml:space="preserve">Стороны считаются связанными, если они находятся под общим контролем, или одна из них имеет возможность контролировать другую, или может оказывать существенное влияние при принятии другой стороной финансовых и операционных решений. При рассмотрении взаимоотношений со всеми связанными сторонами принимается во внимание экономическое содержание таких взаимоотношений, а не только их юридическая форма. </w:t>
      </w:r>
    </w:p>
    <w:p w:rsidR="00FD1F98" w:rsidRPr="001B2490" w:rsidRDefault="00FD1F98" w:rsidP="00D02658">
      <w:pPr>
        <w:spacing w:after="240"/>
        <w:ind w:firstLine="284"/>
        <w:jc w:val="both"/>
        <w:rPr>
          <w:rFonts w:cs="Arial"/>
          <w:lang w:val="ru-RU"/>
        </w:rPr>
      </w:pPr>
      <w:r w:rsidRPr="001B2490">
        <w:rPr>
          <w:rFonts w:cs="Arial"/>
          <w:lang w:val="ru-RU"/>
        </w:rPr>
        <w:t>Ниже указаны остатки на 31 декабря 2023 года по операциям со связанными сторонами:</w:t>
      </w: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80"/>
        <w:gridCol w:w="1350"/>
        <w:gridCol w:w="1350"/>
        <w:gridCol w:w="1080"/>
      </w:tblGrid>
      <w:tr w:rsidR="00FD1F98" w:rsidRPr="001B2490" w:rsidTr="000E1898">
        <w:trPr>
          <w:trHeight w:val="202"/>
          <w:tblHeader/>
        </w:trPr>
        <w:tc>
          <w:tcPr>
            <w:tcW w:w="558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RRthousands"/>
              <w:keepNext/>
              <w:ind w:left="144"/>
              <w:rPr>
                <w:sz w:val="16"/>
                <w:szCs w:val="16"/>
                <w:lang w:val="ru-RU"/>
              </w:rPr>
            </w:pPr>
            <w:r w:rsidRPr="001B2490">
              <w:rPr>
                <w:rFonts w:eastAsia="Arial Unicode MS"/>
                <w:sz w:val="16"/>
                <w:szCs w:val="16"/>
                <w:lang w:val="ru-RU"/>
              </w:rPr>
              <w:t>(в тысячах казахстанских тенге)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Единственный Акционер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Компании под общим контролем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Прочие связанные стороны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keepNext/>
              <w:keepLines/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Денежные средства и их эквиваленты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482,450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79,533,659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Средства в банках (договорная процентная ставка: 2-10%)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55,967,079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7,035,462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Дебиторская задолженность по программам субсидирования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136,338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Инвестиционные долговые ценные бумаги, оцениваемые по справедливой стоимости через прочий совокупный доход 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1-9.5%)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4,795,765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Инвестиционные долговые ценные бумаги, оцениваемые по амортизированной стоимости 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9%)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822,838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5.5%-7.68%)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73,518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Предоплата текущих обязательств по налогу на прибыль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15%)</w:t>
            </w:r>
          </w:p>
        </w:tc>
        <w:tc>
          <w:tcPr>
            <w:tcW w:w="1350" w:type="dxa"/>
            <w:vAlign w:val="bottom"/>
          </w:tcPr>
          <w:p w:rsidR="00FD1F98" w:rsidRPr="001B2490" w:rsidDel="00C466AD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Del="00C466AD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2,075,574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Отложенный налоговый актив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20%)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582,713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Прочие финансовые активы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40,449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Прочие активы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298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tabs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171,692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Заемные средства</w:t>
            </w:r>
          </w:p>
          <w:p w:rsidR="00FD1F98" w:rsidRPr="001B2490" w:rsidRDefault="00FD1F98" w:rsidP="000E1898">
            <w:pPr>
              <w:ind w:left="144" w:hanging="86"/>
              <w:rPr>
                <w:rFonts w:cs="Arial"/>
                <w:spacing w:val="-4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cs="Arial"/>
                <w:spacing w:val="-4"/>
                <w:sz w:val="16"/>
                <w:szCs w:val="16"/>
                <w:lang w:val="ru-RU"/>
              </w:rPr>
              <w:t>договорная процентная ставка: 0.1% – 5.5%)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109,095,786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Del="004B5485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39,176,420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Обязательства по программам субсидирования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249,480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Прочие финансовые обязательства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1,047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FD1F98" w:rsidRPr="001B2490" w:rsidTr="000E1898">
        <w:trPr>
          <w:trHeight w:val="202"/>
        </w:trPr>
        <w:tc>
          <w:tcPr>
            <w:tcW w:w="558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Прочие обязательства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Del="004B5485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170,807</w:t>
            </w:r>
          </w:p>
        </w:tc>
      </w:tr>
      <w:tr w:rsidR="00FD1F98" w:rsidRPr="001B2490" w:rsidTr="000E1898">
        <w:trPr>
          <w:trHeight w:hRule="exact" w:val="86"/>
        </w:trPr>
        <w:tc>
          <w:tcPr>
            <w:tcW w:w="558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84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FD1F98" w:rsidRPr="001B2490" w:rsidRDefault="00FD1F98" w:rsidP="00D02658">
      <w:pPr>
        <w:pStyle w:val="ABC-paragrahinNotes"/>
        <w:spacing w:before="240"/>
        <w:ind w:firstLine="284"/>
        <w:rPr>
          <w:rFonts w:ascii="Arial" w:eastAsia="Arial Unicode MS" w:hAnsi="Arial" w:cs="Arial"/>
          <w:sz w:val="18"/>
          <w:lang w:val="ru-RU"/>
        </w:rPr>
      </w:pPr>
      <w:r w:rsidRPr="001B2490">
        <w:rPr>
          <w:rFonts w:ascii="Arial" w:hAnsi="Arial" w:cs="Arial"/>
          <w:sz w:val="18"/>
          <w:szCs w:val="18"/>
          <w:lang w:val="ru-RU"/>
        </w:rPr>
        <w:t xml:space="preserve">Прочие связанные стороны включают Правительство Республики Казахстан, государственные и </w:t>
      </w:r>
      <w:proofErr w:type="spellStart"/>
      <w:r w:rsidRPr="001B2490">
        <w:rPr>
          <w:rFonts w:ascii="Arial" w:hAnsi="Arial" w:cs="Arial"/>
          <w:sz w:val="18"/>
          <w:szCs w:val="18"/>
          <w:lang w:val="ru-RU"/>
        </w:rPr>
        <w:t>квазигосударственные</w:t>
      </w:r>
      <w:proofErr w:type="spellEnd"/>
      <w:r w:rsidRPr="001B2490">
        <w:rPr>
          <w:rFonts w:ascii="Arial" w:hAnsi="Arial" w:cs="Arial"/>
          <w:sz w:val="18"/>
          <w:szCs w:val="18"/>
          <w:lang w:val="ru-RU"/>
        </w:rPr>
        <w:t xml:space="preserve"> компании и прочие компании в которых были выявлены признаки связанности с Фондом.</w:t>
      </w:r>
    </w:p>
    <w:p w:rsidR="00FD1F98" w:rsidRPr="001B2490" w:rsidRDefault="00FD1F98" w:rsidP="00FD1F98">
      <w:pPr>
        <w:tabs>
          <w:tab w:val="right" w:pos="9214"/>
        </w:tabs>
        <w:spacing w:after="240"/>
        <w:rPr>
          <w:rFonts w:cs="Arial"/>
          <w:lang w:val="ru-RU"/>
        </w:rPr>
      </w:pPr>
      <w:r w:rsidRPr="001B2490">
        <w:rPr>
          <w:rFonts w:cs="Arial"/>
          <w:lang w:val="ru-RU"/>
        </w:rPr>
        <w:t>Ниже указаны статьи доходов и расходов по операциям со связанными сторонами за 2023 год: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FD1F98" w:rsidRPr="001B2490" w:rsidTr="000E1898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i/>
                <w:sz w:val="16"/>
                <w:szCs w:val="16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Прочие связанные стороны</w:t>
            </w:r>
          </w:p>
        </w:tc>
      </w:tr>
      <w:tr w:rsidR="00FD1F98" w:rsidRPr="001B2490" w:rsidTr="000E1898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ind w:left="144" w:hanging="86"/>
              <w:rPr>
                <w:rFonts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D1F98" w:rsidRPr="001B2490" w:rsidTr="000E1898">
        <w:tc>
          <w:tcPr>
            <w:tcW w:w="4127" w:type="dxa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5,159,401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1,342,853</w:t>
            </w:r>
          </w:p>
        </w:tc>
      </w:tr>
      <w:tr w:rsidR="00FD1F98" w:rsidRPr="001B2490" w:rsidTr="000E1898">
        <w:tc>
          <w:tcPr>
            <w:tcW w:w="4127" w:type="dxa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(6,965,184)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(2,723)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(979,291)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Расходы за вычетом доходов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FD1F98" w:rsidRPr="001B2490" w:rsidDel="00C466AD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Del="00C466AD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(968)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Чистые комиссионные доходы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625,600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Доходы за вычетом расходов</w:t>
            </w:r>
            <w:proofErr w:type="gramStart"/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/(</w:t>
            </w:r>
            <w:proofErr w:type="gramEnd"/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расходы за вычетом доходов) по операциям с иностранной валютой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(46,932)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Доходы за вычетом расходов</w:t>
            </w:r>
            <w:proofErr w:type="gramStart"/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/(</w:t>
            </w:r>
            <w:proofErr w:type="gramEnd"/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расходы за вычетом доходов), возникающие при первоначальном признании финансовых инструментов по ставкам ниже/ выше рыночных: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(8,010,597)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(2,893,942)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Чистые расходы от прекращения признания финансовых активов, оцениваемых по амортизированной стоимости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346,554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(55,459)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(111,693)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kk-KZ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Прочие операционные </w:t>
            </w: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kk-KZ"/>
              </w:rPr>
              <w:t>доходы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Резерв под обесценение кредитного портфеля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369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65,543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Резерв под обесценение прочих финансовых активов и обязательств кредитного характера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4,802,520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(8,7</w:t>
            </w:r>
            <w:r w:rsidRPr="001B2490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19</w:t>
            </w: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,</w:t>
            </w:r>
            <w:r w:rsidRPr="001B2490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430</w:t>
            </w: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Прочие доходы/расходы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2,494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4,118</w:t>
            </w:r>
          </w:p>
        </w:tc>
      </w:tr>
      <w:tr w:rsidR="00FD1F98" w:rsidRPr="001B2490" w:rsidTr="000E1898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FD1F98" w:rsidRPr="001B2490" w:rsidRDefault="00FD1F98" w:rsidP="00D02658">
      <w:pPr>
        <w:pStyle w:val="Continued"/>
        <w:ind w:left="0" w:firstLine="284"/>
        <w:rPr>
          <w:rFonts w:eastAsia="Arial Unicode MS" w:cs="Arial"/>
          <w:lang w:val="ru-RU"/>
        </w:rPr>
      </w:pPr>
      <w:r w:rsidRPr="001B2490">
        <w:rPr>
          <w:rFonts w:eastAsia="Arial Unicode MS" w:cs="Arial"/>
          <w:lang w:val="ru-RU"/>
        </w:rPr>
        <w:lastRenderedPageBreak/>
        <w:t>Операции со связанными сторонами (продолжение)</w:t>
      </w:r>
    </w:p>
    <w:p w:rsidR="00FD1F98" w:rsidRPr="001B2490" w:rsidRDefault="00FD1F98" w:rsidP="00D02658">
      <w:pPr>
        <w:spacing w:before="240" w:after="240"/>
        <w:ind w:firstLine="284"/>
        <w:jc w:val="both"/>
        <w:rPr>
          <w:rFonts w:eastAsia="Arial Unicode MS" w:cs="Arial"/>
          <w:lang w:val="ru-RU"/>
        </w:rPr>
      </w:pPr>
      <w:r w:rsidRPr="001B2490">
        <w:rPr>
          <w:rFonts w:eastAsia="Arial Unicode MS" w:cs="Arial"/>
          <w:lang w:val="ru-RU"/>
        </w:rPr>
        <w:t xml:space="preserve">Ниже указаны остатки на 31 декабря 2022 года по операциям со связанными сторонами: </w:t>
      </w:r>
    </w:p>
    <w:tbl>
      <w:tblPr>
        <w:tblW w:w="945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0"/>
        <w:gridCol w:w="1350"/>
        <w:gridCol w:w="1350"/>
        <w:gridCol w:w="1080"/>
      </w:tblGrid>
      <w:tr w:rsidR="00FD1F98" w:rsidRPr="001B2490" w:rsidTr="000E1898">
        <w:trPr>
          <w:trHeight w:val="202"/>
          <w:tblHeader/>
        </w:trPr>
        <w:tc>
          <w:tcPr>
            <w:tcW w:w="567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RRthousands"/>
              <w:keepNext/>
              <w:ind w:left="144"/>
              <w:rPr>
                <w:sz w:val="16"/>
                <w:szCs w:val="16"/>
                <w:lang w:val="ru-RU"/>
              </w:rPr>
            </w:pPr>
            <w:r w:rsidRPr="001B2490">
              <w:rPr>
                <w:rFonts w:eastAsia="Arial Unicode MS"/>
                <w:sz w:val="16"/>
                <w:szCs w:val="16"/>
                <w:lang w:val="ru-RU"/>
              </w:rPr>
              <w:t>(в тысячах казахстанских тенге)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Единственный Акционер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Компании под общим контролем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Прочие связанные стороны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keepNext/>
              <w:keepLines/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Денежные средства и их эквиваленты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845,294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82,140,505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Средства в банках (договорная процентная ставка: 2-10%)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45,050,839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Инвестиционные долговые ценные бумаги, оцениваемые по справедливой стоимости через прибыль или убыток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(5.5%%-7.68%)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74,139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Инвестиционные долговые ценные бумаги, оцениваемые по справедливой стоимости через прочий совокупный доход 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0-9.5%)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12,8</w:t>
            </w:r>
            <w:r w:rsidRPr="001B2490">
              <w:rPr>
                <w:rFonts w:cs="Arial"/>
                <w:sz w:val="16"/>
                <w:szCs w:val="16"/>
              </w:rPr>
              <w:t>9</w:t>
            </w:r>
            <w:r w:rsidRPr="001B2490">
              <w:rPr>
                <w:rFonts w:cs="Arial"/>
                <w:sz w:val="16"/>
                <w:szCs w:val="16"/>
                <w:lang w:val="ru-RU"/>
              </w:rPr>
              <w:t>2,</w:t>
            </w:r>
            <w:r w:rsidRPr="001B2490">
              <w:rPr>
                <w:rFonts w:cs="Arial"/>
                <w:sz w:val="16"/>
                <w:szCs w:val="16"/>
              </w:rPr>
              <w:t>499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Инвестиционные долговые ценные бумаги, оцениваемые по амортизированной стоимости 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9%)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830,949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Дебиторская задолженность по программам субсидирования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183,681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Предоплата текущих обязательств по налогу на прибыль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15%)</w:t>
            </w:r>
          </w:p>
        </w:tc>
        <w:tc>
          <w:tcPr>
            <w:tcW w:w="1350" w:type="dxa"/>
            <w:vAlign w:val="bottom"/>
          </w:tcPr>
          <w:p w:rsidR="00FD1F98" w:rsidRPr="001B2490" w:rsidDel="00C466AD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Del="00C466AD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633,394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Отложенный налоговый актив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20%)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Прочие финансовые активы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46,172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Прочие активы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tabs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177,662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Заемные средства</w:t>
            </w:r>
          </w:p>
          <w:p w:rsidR="00FD1F98" w:rsidRPr="001B2490" w:rsidRDefault="00FD1F98" w:rsidP="000E1898">
            <w:pPr>
              <w:ind w:left="144" w:hanging="86"/>
              <w:rPr>
                <w:rFonts w:cs="Arial"/>
                <w:spacing w:val="-4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cs="Arial"/>
                <w:spacing w:val="-4"/>
                <w:sz w:val="16"/>
                <w:szCs w:val="16"/>
                <w:lang w:val="ru-RU"/>
              </w:rPr>
              <w:t>договорная процентная ставка: 0.1% – 5.5%)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102,446,602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Del="004B5485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65,527,773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Обязательства по программам субсидирования</w:t>
            </w:r>
          </w:p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договорная 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175,714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Отложенное налоговое обязательство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20%)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1,835,530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Прочие финансовые обязательства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59,930</w:t>
            </w: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 xml:space="preserve">Прочие обязательства (договорная </w:t>
            </w:r>
            <w:r w:rsidRPr="001B2490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процентная ставка: 0%)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1080" w:type="dxa"/>
            <w:vAlign w:val="bottom"/>
          </w:tcPr>
          <w:p w:rsidR="00FD1F98" w:rsidRPr="001B2490" w:rsidDel="004B5485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145,288</w:t>
            </w:r>
          </w:p>
        </w:tc>
      </w:tr>
      <w:tr w:rsidR="00FD1F98" w:rsidRPr="001B2490" w:rsidTr="000E1898">
        <w:trPr>
          <w:trHeight w:val="202"/>
        </w:trPr>
        <w:tc>
          <w:tcPr>
            <w:tcW w:w="5670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53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D1F98" w:rsidRPr="001B2490" w:rsidTr="000E1898">
        <w:trPr>
          <w:trHeight w:hRule="exact" w:val="86"/>
        </w:trPr>
        <w:tc>
          <w:tcPr>
            <w:tcW w:w="567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308"/>
                <w:tab w:val="decimal" w:pos="1384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FD1F98" w:rsidRPr="001B2490" w:rsidRDefault="00FD1F98" w:rsidP="00D02658">
      <w:pPr>
        <w:spacing w:before="240" w:after="240"/>
        <w:ind w:firstLine="284"/>
        <w:jc w:val="both"/>
        <w:rPr>
          <w:rFonts w:cs="Arial"/>
          <w:lang w:val="ru-RU"/>
        </w:rPr>
      </w:pPr>
      <w:r w:rsidRPr="001B2490">
        <w:rPr>
          <w:rFonts w:cs="Arial"/>
          <w:lang w:val="ru-RU"/>
        </w:rPr>
        <w:t xml:space="preserve">Ниже указаны статьи доходов и расходов по операциям со связанными сторонами за 2022 год: 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FD1F98" w:rsidRPr="001B2490" w:rsidTr="000E1898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i/>
                <w:sz w:val="16"/>
                <w:szCs w:val="16"/>
                <w:lang w:val="ru-RU"/>
              </w:rPr>
              <w:t>(в тысячах казахстанских тенге)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Единственный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Компании под общим контролем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Прочие связанные стороны</w:t>
            </w:r>
          </w:p>
        </w:tc>
      </w:tr>
      <w:tr w:rsidR="00FD1F98" w:rsidRPr="001B2490" w:rsidTr="000E1898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ind w:left="144" w:hanging="86"/>
              <w:rPr>
                <w:rFonts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FD1F98" w:rsidRPr="001B2490" w:rsidTr="000E1898">
        <w:tc>
          <w:tcPr>
            <w:tcW w:w="4127" w:type="dxa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Процентные доходы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1,657,534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1,894,53</w:t>
            </w: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</w:tr>
      <w:tr w:rsidR="00FD1F98" w:rsidRPr="001B2490" w:rsidTr="000E1898">
        <w:tc>
          <w:tcPr>
            <w:tcW w:w="4127" w:type="dxa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Процентные расходы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(6,582,136)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(7,760)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(1,069,717)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sz w:val="16"/>
                <w:szCs w:val="16"/>
                <w:lang w:val="ru-RU"/>
              </w:rPr>
              <w:t>Расходы за вычетом доходов от переоценки ценных бумаг, оцениваемых по справедливой стоимости через прибыль или убыток</w:t>
            </w:r>
          </w:p>
        </w:tc>
        <w:tc>
          <w:tcPr>
            <w:tcW w:w="1740" w:type="dxa"/>
            <w:vAlign w:val="bottom"/>
          </w:tcPr>
          <w:p w:rsidR="00FD1F98" w:rsidRPr="001B2490" w:rsidDel="00C466AD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Del="00C466AD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12,497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Чистые комиссионные доходы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625,600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Доходы за вычетом расходов</w:t>
            </w:r>
            <w:proofErr w:type="gramStart"/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/(</w:t>
            </w:r>
            <w:proofErr w:type="gramEnd"/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расходы за вычетом доходов) по операциям с иностранной валютой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379,87</w:t>
            </w: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Административные и прочие операционные расходы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(53,869)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(135,858)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kk-KZ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Прочие операционные </w:t>
            </w: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kk-KZ"/>
              </w:rPr>
              <w:t>доходы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Резерв под обесценение кредитного портфеля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(4,832,360)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Резерв под обесценение денежных средств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(188)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Расходы по налогу на прибыль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(12,481,494)</w:t>
            </w:r>
          </w:p>
        </w:tc>
      </w:tr>
      <w:tr w:rsidR="00FD1F98" w:rsidRPr="001B2490" w:rsidTr="000E1898">
        <w:tc>
          <w:tcPr>
            <w:tcW w:w="4127" w:type="dxa"/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Прочие доходы/расходы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546</w:t>
            </w:r>
          </w:p>
        </w:tc>
        <w:tc>
          <w:tcPr>
            <w:tcW w:w="1740" w:type="dxa"/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2,677</w:t>
            </w:r>
          </w:p>
        </w:tc>
      </w:tr>
      <w:tr w:rsidR="00FD1F98" w:rsidRPr="001B2490" w:rsidTr="000E1898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FD1F98" w:rsidRPr="001B2490" w:rsidRDefault="00FD1F98" w:rsidP="00D02658">
      <w:pPr>
        <w:pStyle w:val="ABC-paragrahinNotes"/>
        <w:spacing w:before="240"/>
        <w:ind w:firstLine="284"/>
        <w:rPr>
          <w:rFonts w:ascii="Arial" w:hAnsi="Arial" w:cs="Arial"/>
          <w:sz w:val="18"/>
          <w:szCs w:val="24"/>
          <w:lang w:val="ru-RU"/>
        </w:rPr>
      </w:pPr>
      <w:r w:rsidRPr="001B2490">
        <w:rPr>
          <w:rFonts w:ascii="Arial" w:hAnsi="Arial" w:cs="Arial"/>
          <w:sz w:val="18"/>
          <w:szCs w:val="24"/>
          <w:lang w:val="ru-RU"/>
        </w:rPr>
        <w:t>Совокупная сумма заемных средств, полученных от связанных сторон и погашенных Фондом в течение года, закончившихся 31 декабря 2023 года, представлена ниже: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1"/>
        <w:gridCol w:w="1469"/>
        <w:gridCol w:w="1469"/>
        <w:gridCol w:w="1469"/>
      </w:tblGrid>
      <w:tr w:rsidR="00FD1F98" w:rsidRPr="001B2490" w:rsidTr="000E1898">
        <w:trPr>
          <w:tblHeader/>
        </w:trPr>
        <w:tc>
          <w:tcPr>
            <w:tcW w:w="264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RRthousands"/>
              <w:keepNext/>
              <w:ind w:left="144"/>
              <w:rPr>
                <w:sz w:val="15"/>
                <w:szCs w:val="15"/>
                <w:lang w:val="ru-RU"/>
              </w:rPr>
            </w:pPr>
            <w:r w:rsidRPr="001B2490">
              <w:rPr>
                <w:rFonts w:eastAsia="Arial Unicode MS"/>
                <w:sz w:val="15"/>
                <w:szCs w:val="15"/>
                <w:lang w:val="ru-RU"/>
              </w:rPr>
              <w:t>(в тысячах казахстанских тенге)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Единственный Акционер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Компании под контролем Акционера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Прочие</w:t>
            </w:r>
          </w:p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 xml:space="preserve"> связанные стороны</w:t>
            </w:r>
          </w:p>
        </w:tc>
      </w:tr>
      <w:tr w:rsidR="00FD1F98" w:rsidRPr="001B2490" w:rsidTr="000E1898">
        <w:tc>
          <w:tcPr>
            <w:tcW w:w="264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keepNext/>
              <w:ind w:left="144" w:hanging="86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  <w:tr w:rsidR="00FD1F98" w:rsidRPr="001B2490" w:rsidTr="000E1898">
        <w:tc>
          <w:tcPr>
            <w:tcW w:w="2645" w:type="pct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Сумма заемных средств, полученных от связанных сторон в течение периода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4,350,000</w:t>
            </w:r>
          </w:p>
        </w:tc>
      </w:tr>
      <w:tr w:rsidR="00FD1F98" w:rsidRPr="001B2490" w:rsidTr="000E1898">
        <w:tc>
          <w:tcPr>
            <w:tcW w:w="2645" w:type="pct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Сумма заемных средств, погашенных Фондом в течение периода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(316,000)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(12,520,669)</w:t>
            </w:r>
          </w:p>
        </w:tc>
      </w:tr>
      <w:tr w:rsidR="00FD1F98" w:rsidRPr="001B2490" w:rsidTr="000E1898">
        <w:tc>
          <w:tcPr>
            <w:tcW w:w="2645" w:type="pct"/>
            <w:tcBorders>
              <w:bottom w:val="single" w:sz="12" w:space="0" w:color="auto"/>
            </w:tcBorders>
          </w:tcPr>
          <w:p w:rsidR="00FD1F98" w:rsidRPr="001B2490" w:rsidRDefault="00FD1F98" w:rsidP="000E1898">
            <w:pPr>
              <w:pStyle w:val="Tabletext"/>
              <w:spacing w:line="80" w:lineRule="exac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</w:tbl>
    <w:p w:rsidR="00FD1F98" w:rsidRPr="001B2490" w:rsidRDefault="00FD1F98" w:rsidP="00D02658">
      <w:pPr>
        <w:pStyle w:val="ABC-paragrahinNotes"/>
        <w:spacing w:before="240"/>
        <w:ind w:firstLine="284"/>
        <w:rPr>
          <w:rFonts w:ascii="Arial" w:hAnsi="Arial" w:cs="Arial"/>
          <w:sz w:val="18"/>
          <w:szCs w:val="24"/>
          <w:lang w:val="ru-RU"/>
        </w:rPr>
      </w:pPr>
      <w:r w:rsidRPr="001B2490">
        <w:rPr>
          <w:rFonts w:ascii="Arial" w:hAnsi="Arial" w:cs="Arial"/>
          <w:sz w:val="18"/>
          <w:szCs w:val="24"/>
          <w:lang w:val="ru-RU"/>
        </w:rPr>
        <w:t>Совокупная сумма заемных средств, полученных от связанных сторон и погашенных Фондом в течение года, закончившихся 31 декабря 202</w:t>
      </w:r>
      <w:r>
        <w:rPr>
          <w:rFonts w:ascii="Arial" w:hAnsi="Arial" w:cs="Arial"/>
          <w:sz w:val="18"/>
          <w:szCs w:val="24"/>
          <w:lang w:val="ru-RU"/>
        </w:rPr>
        <w:t>2</w:t>
      </w:r>
      <w:r w:rsidRPr="001B2490">
        <w:rPr>
          <w:rFonts w:ascii="Arial" w:hAnsi="Arial" w:cs="Arial"/>
          <w:sz w:val="18"/>
          <w:szCs w:val="24"/>
          <w:lang w:val="ru-RU"/>
        </w:rPr>
        <w:t xml:space="preserve"> года, представлена ниже:</w:t>
      </w:r>
    </w:p>
    <w:p w:rsidR="00FD1F98" w:rsidRPr="001B2490" w:rsidRDefault="00FD1F98" w:rsidP="00D02658">
      <w:pPr>
        <w:pageBreakBefore/>
        <w:spacing w:before="240" w:after="240"/>
        <w:ind w:left="360" w:hanging="76"/>
        <w:jc w:val="both"/>
        <w:rPr>
          <w:rFonts w:cs="Arial"/>
          <w:b/>
          <w:sz w:val="20"/>
          <w:lang w:val="ru-RU"/>
        </w:rPr>
      </w:pPr>
      <w:r w:rsidRPr="001B2490">
        <w:rPr>
          <w:rFonts w:eastAsia="Arial Unicode MS" w:cs="Arial"/>
          <w:b/>
          <w:sz w:val="20"/>
          <w:lang w:val="ru-RU"/>
        </w:rPr>
        <w:lastRenderedPageBreak/>
        <w:t>Операции со связанными сторонами (продолжение)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1"/>
        <w:gridCol w:w="1469"/>
        <w:gridCol w:w="1469"/>
        <w:gridCol w:w="1469"/>
      </w:tblGrid>
      <w:tr w:rsidR="00FD1F98" w:rsidRPr="001B2490" w:rsidTr="000E1898">
        <w:trPr>
          <w:tblHeader/>
        </w:trPr>
        <w:tc>
          <w:tcPr>
            <w:tcW w:w="264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RRthousands"/>
              <w:keepNext/>
              <w:ind w:left="144"/>
              <w:rPr>
                <w:sz w:val="15"/>
                <w:szCs w:val="15"/>
                <w:lang w:val="ru-RU"/>
              </w:rPr>
            </w:pPr>
            <w:r w:rsidRPr="001B2490">
              <w:rPr>
                <w:rFonts w:eastAsia="Arial Unicode MS"/>
                <w:sz w:val="15"/>
                <w:szCs w:val="15"/>
                <w:lang w:val="ru-RU"/>
              </w:rPr>
              <w:t>(в тысячах казахстанских тенге)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Единственный Акционер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Компании под контролем Акционера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Прочие</w:t>
            </w:r>
          </w:p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 xml:space="preserve"> связанные стороны</w:t>
            </w:r>
          </w:p>
        </w:tc>
      </w:tr>
      <w:tr w:rsidR="00FD1F98" w:rsidRPr="001B2490" w:rsidTr="000E1898">
        <w:tc>
          <w:tcPr>
            <w:tcW w:w="264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keepNext/>
              <w:ind w:left="144" w:hanging="86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  <w:tr w:rsidR="00FD1F98" w:rsidRPr="001B2490" w:rsidTr="000E1898">
        <w:tc>
          <w:tcPr>
            <w:tcW w:w="2645" w:type="pct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Сумма заемных средств, полученных от связанных сторон в течение периода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4,366,600</w:t>
            </w:r>
          </w:p>
        </w:tc>
      </w:tr>
      <w:tr w:rsidR="00FD1F98" w:rsidRPr="001B2490" w:rsidTr="000E1898">
        <w:tc>
          <w:tcPr>
            <w:tcW w:w="2645" w:type="pct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Сумма заемных средств, погашенных Фондом в течение периода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(516,148)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(12,856,243)</w:t>
            </w:r>
          </w:p>
        </w:tc>
      </w:tr>
      <w:tr w:rsidR="00FD1F98" w:rsidRPr="001B2490" w:rsidTr="000E1898">
        <w:tc>
          <w:tcPr>
            <w:tcW w:w="2645" w:type="pct"/>
            <w:tcBorders>
              <w:bottom w:val="single" w:sz="12" w:space="0" w:color="auto"/>
            </w:tcBorders>
          </w:tcPr>
          <w:p w:rsidR="00FD1F98" w:rsidRPr="001B2490" w:rsidRDefault="00FD1F98" w:rsidP="000E1898">
            <w:pPr>
              <w:pStyle w:val="Tabletext"/>
              <w:spacing w:line="80" w:lineRule="exac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</w:tbl>
    <w:p w:rsidR="00FD1F98" w:rsidRPr="001B2490" w:rsidRDefault="00FD1F98" w:rsidP="00D02658">
      <w:pPr>
        <w:pStyle w:val="ABC-paragrahinNotes"/>
        <w:widowControl w:val="0"/>
        <w:spacing w:before="240"/>
        <w:ind w:firstLine="284"/>
        <w:rPr>
          <w:rFonts w:ascii="Arial" w:hAnsi="Arial" w:cs="Arial"/>
          <w:sz w:val="18"/>
          <w:szCs w:val="18"/>
          <w:lang w:val="ru-RU"/>
        </w:rPr>
      </w:pPr>
      <w:r w:rsidRPr="001B2490">
        <w:rPr>
          <w:rFonts w:ascii="Arial" w:hAnsi="Arial" w:cs="Arial"/>
          <w:sz w:val="18"/>
          <w:szCs w:val="18"/>
          <w:lang w:val="ru-RU"/>
        </w:rPr>
        <w:t xml:space="preserve">Операции со связанными сторонами без обеспечения. Балансы со связанными сторонами не являются кредитно-обесцененными. </w:t>
      </w:r>
    </w:p>
    <w:p w:rsidR="00FD1F98" w:rsidRPr="001B2490" w:rsidRDefault="00FD1F98" w:rsidP="00D02658">
      <w:pPr>
        <w:pStyle w:val="ABC-paragrahinNotes"/>
        <w:spacing w:before="240"/>
        <w:ind w:firstLine="284"/>
        <w:rPr>
          <w:rFonts w:ascii="Arial" w:hAnsi="Arial" w:cs="Arial"/>
          <w:sz w:val="18"/>
          <w:szCs w:val="24"/>
          <w:lang w:val="ru-RU"/>
        </w:rPr>
      </w:pPr>
      <w:r w:rsidRPr="001B2490">
        <w:rPr>
          <w:rFonts w:ascii="Arial" w:hAnsi="Arial" w:cs="Arial"/>
          <w:sz w:val="18"/>
          <w:szCs w:val="24"/>
          <w:lang w:val="ru-RU"/>
        </w:rPr>
        <w:t>Совокупная сумма заемных средств, предоставленных связанным сторонам и погашенных связанными сторонами в течение года, закончившихся 31 декабря 2023 года, представлена ниже: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1"/>
        <w:gridCol w:w="1469"/>
        <w:gridCol w:w="1469"/>
        <w:gridCol w:w="1469"/>
      </w:tblGrid>
      <w:tr w:rsidR="00FD1F98" w:rsidRPr="001B2490" w:rsidTr="000E1898">
        <w:trPr>
          <w:tblHeader/>
        </w:trPr>
        <w:tc>
          <w:tcPr>
            <w:tcW w:w="264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RRthousands"/>
              <w:keepNext/>
              <w:ind w:left="144"/>
              <w:rPr>
                <w:sz w:val="15"/>
                <w:szCs w:val="15"/>
                <w:lang w:val="ru-RU"/>
              </w:rPr>
            </w:pPr>
            <w:r w:rsidRPr="001B2490">
              <w:rPr>
                <w:rFonts w:eastAsia="Arial Unicode MS"/>
                <w:sz w:val="15"/>
                <w:szCs w:val="15"/>
                <w:lang w:val="ru-RU"/>
              </w:rPr>
              <w:t>(в тысячах казахстанских тенге)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Единственный Акционер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Компании под контролем Акционера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Прочие</w:t>
            </w:r>
          </w:p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 xml:space="preserve"> связанные стороны</w:t>
            </w:r>
          </w:p>
        </w:tc>
      </w:tr>
      <w:tr w:rsidR="00FD1F98" w:rsidRPr="001B2490" w:rsidTr="000E1898">
        <w:tc>
          <w:tcPr>
            <w:tcW w:w="264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keepNext/>
              <w:ind w:left="144" w:hanging="86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  <w:tr w:rsidR="00FD1F98" w:rsidRPr="001B2490" w:rsidTr="000E1898">
        <w:tc>
          <w:tcPr>
            <w:tcW w:w="2645" w:type="pct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Сумма кредитов, предоставленных связанным сторонам в течение года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14,000,000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5,102,864</w:t>
            </w:r>
          </w:p>
        </w:tc>
      </w:tr>
      <w:tr w:rsidR="00FD1F98" w:rsidRPr="001B2490" w:rsidTr="000E1898">
        <w:tc>
          <w:tcPr>
            <w:tcW w:w="2645" w:type="pct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Сумма кредитов, погашенных связанными сторонами в течение года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48,962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2,248,438</w:t>
            </w:r>
          </w:p>
        </w:tc>
      </w:tr>
      <w:tr w:rsidR="00FD1F98" w:rsidRPr="001B2490" w:rsidTr="000E1898">
        <w:tc>
          <w:tcPr>
            <w:tcW w:w="2645" w:type="pct"/>
            <w:tcBorders>
              <w:bottom w:val="single" w:sz="12" w:space="0" w:color="auto"/>
            </w:tcBorders>
          </w:tcPr>
          <w:p w:rsidR="00FD1F98" w:rsidRPr="001B2490" w:rsidRDefault="00FD1F98" w:rsidP="000E1898">
            <w:pPr>
              <w:pStyle w:val="Tabletext"/>
              <w:spacing w:line="80" w:lineRule="exac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</w:tbl>
    <w:p w:rsidR="00FD1F98" w:rsidRPr="001B2490" w:rsidRDefault="00FD1F98" w:rsidP="00D02658">
      <w:pPr>
        <w:pStyle w:val="ABC-paragrahinNotes"/>
        <w:spacing w:before="240"/>
        <w:ind w:firstLine="284"/>
        <w:rPr>
          <w:rFonts w:ascii="Arial" w:hAnsi="Arial" w:cs="Arial"/>
          <w:sz w:val="18"/>
          <w:szCs w:val="24"/>
          <w:lang w:val="ru-RU"/>
        </w:rPr>
      </w:pPr>
      <w:r w:rsidRPr="001B2490">
        <w:rPr>
          <w:rFonts w:ascii="Arial" w:hAnsi="Arial" w:cs="Arial"/>
          <w:sz w:val="18"/>
          <w:szCs w:val="24"/>
          <w:lang w:val="ru-RU"/>
        </w:rPr>
        <w:t>Совокупная сумма заемных средств, предоставленных связанным сторонам и погашенных связанными сторонами в течение года, закончившихся 31 декабря 2022 года, представлена ниже: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1"/>
        <w:gridCol w:w="1469"/>
        <w:gridCol w:w="1469"/>
        <w:gridCol w:w="1469"/>
      </w:tblGrid>
      <w:tr w:rsidR="00FD1F98" w:rsidRPr="001B2490" w:rsidTr="000E1898">
        <w:trPr>
          <w:tblHeader/>
        </w:trPr>
        <w:tc>
          <w:tcPr>
            <w:tcW w:w="264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RRthousands"/>
              <w:keepNext/>
              <w:ind w:left="144"/>
              <w:rPr>
                <w:sz w:val="15"/>
                <w:szCs w:val="15"/>
                <w:lang w:val="ru-RU"/>
              </w:rPr>
            </w:pPr>
            <w:r w:rsidRPr="001B2490">
              <w:rPr>
                <w:rFonts w:eastAsia="Arial Unicode MS"/>
                <w:sz w:val="15"/>
                <w:szCs w:val="15"/>
                <w:lang w:val="ru-RU"/>
              </w:rPr>
              <w:t>(в тысячах казахстанских тенге)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Единственный Акционер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Компании под контролем Акционера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Прочие</w:t>
            </w:r>
          </w:p>
          <w:p w:rsidR="00FD1F98" w:rsidRPr="001B2490" w:rsidRDefault="00FD1F98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 xml:space="preserve"> связанные стороны</w:t>
            </w:r>
          </w:p>
        </w:tc>
      </w:tr>
      <w:tr w:rsidR="00FD1F98" w:rsidRPr="001B2490" w:rsidTr="000E1898">
        <w:tc>
          <w:tcPr>
            <w:tcW w:w="264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keepNext/>
              <w:ind w:left="144" w:hanging="86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  <w:tr w:rsidR="00FD1F98" w:rsidRPr="001B2490" w:rsidTr="000E1898">
        <w:tc>
          <w:tcPr>
            <w:tcW w:w="2645" w:type="pct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Сумма кредитов, предоставленных связанным сторонам в течение года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</w:tr>
      <w:tr w:rsidR="00FD1F98" w:rsidRPr="001B2490" w:rsidTr="000E1898">
        <w:tc>
          <w:tcPr>
            <w:tcW w:w="2645" w:type="pct"/>
          </w:tcPr>
          <w:p w:rsidR="00FD1F98" w:rsidRPr="001B2490" w:rsidRDefault="00FD1F98" w:rsidP="000E1898">
            <w:pPr>
              <w:pStyle w:val="Tabletex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1B2490">
              <w:rPr>
                <w:rFonts w:ascii="Arial" w:hAnsi="Arial" w:cs="Arial"/>
                <w:sz w:val="17"/>
                <w:szCs w:val="17"/>
                <w:lang w:val="ru-RU"/>
              </w:rPr>
              <w:t>Сумма кредитов, погашенных связанными сторонами в течение года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</w:tr>
      <w:tr w:rsidR="00FD1F98" w:rsidRPr="001B2490" w:rsidTr="000E1898">
        <w:tc>
          <w:tcPr>
            <w:tcW w:w="2645" w:type="pct"/>
            <w:tcBorders>
              <w:bottom w:val="single" w:sz="12" w:space="0" w:color="auto"/>
            </w:tcBorders>
          </w:tcPr>
          <w:p w:rsidR="00FD1F98" w:rsidRPr="001B2490" w:rsidRDefault="00FD1F98" w:rsidP="000E1898">
            <w:pPr>
              <w:pStyle w:val="Tabletext"/>
              <w:spacing w:line="80" w:lineRule="exac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FD1F98" w:rsidRPr="001B2490" w:rsidRDefault="00FD1F98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</w:tbl>
    <w:p w:rsidR="00FD1F98" w:rsidRPr="001B2490" w:rsidRDefault="00FD1F98" w:rsidP="00FD1F98">
      <w:pPr>
        <w:pStyle w:val="ABC-paragrahinNotes"/>
        <w:spacing w:before="240" w:after="0"/>
        <w:rPr>
          <w:rFonts w:ascii="Arial" w:hAnsi="Arial" w:cs="Arial"/>
          <w:sz w:val="18"/>
          <w:lang w:val="kk-KZ"/>
        </w:rPr>
      </w:pPr>
    </w:p>
    <w:p w:rsidR="00FD1F98" w:rsidRPr="001B2490" w:rsidRDefault="00FD1F98" w:rsidP="00D02658">
      <w:pPr>
        <w:pStyle w:val="ABC-paragrahinNotes"/>
        <w:widowControl w:val="0"/>
        <w:ind w:firstLine="284"/>
        <w:rPr>
          <w:rFonts w:ascii="Arial" w:hAnsi="Arial" w:cs="Arial"/>
          <w:sz w:val="18"/>
          <w:szCs w:val="18"/>
          <w:lang w:val="kk-KZ"/>
        </w:rPr>
      </w:pPr>
      <w:r w:rsidRPr="001B2490">
        <w:rPr>
          <w:rFonts w:ascii="Arial" w:hAnsi="Arial" w:cs="Arial"/>
          <w:i/>
          <w:sz w:val="18"/>
          <w:szCs w:val="18"/>
          <w:lang w:val="ru-RU"/>
        </w:rPr>
        <w:t>Вознаграждение ключевого управленческого персонала.</w:t>
      </w:r>
      <w:r w:rsidRPr="001B2490">
        <w:rPr>
          <w:rFonts w:ascii="Arial" w:hAnsi="Arial" w:cs="Arial"/>
          <w:sz w:val="18"/>
          <w:szCs w:val="18"/>
          <w:lang w:val="ru-RU"/>
        </w:rPr>
        <w:t xml:space="preserve"> В состав ключевого управленческого персонала входят следующие лица: члены Совета директоров, члены Правления, Управляющие директора и Руководитель аппарата.</w:t>
      </w:r>
    </w:p>
    <w:p w:rsidR="00FD1F98" w:rsidRPr="001B2490" w:rsidRDefault="00FD1F98" w:rsidP="00D02658">
      <w:pPr>
        <w:pStyle w:val="ABC-paragrahinNotes"/>
        <w:ind w:firstLine="284"/>
        <w:rPr>
          <w:rFonts w:ascii="Arial" w:hAnsi="Arial" w:cs="Arial"/>
          <w:sz w:val="18"/>
          <w:lang w:val="ru-RU"/>
        </w:rPr>
      </w:pPr>
      <w:r w:rsidRPr="001B2490">
        <w:rPr>
          <w:rFonts w:ascii="Arial" w:hAnsi="Arial" w:cs="Arial"/>
          <w:sz w:val="18"/>
          <w:lang w:val="ru-RU"/>
        </w:rPr>
        <w:t>Ниже представлена информация о выплатах вознаграждения ключевому руководству: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72"/>
        <w:gridCol w:w="1297"/>
        <w:gridCol w:w="1297"/>
        <w:gridCol w:w="1297"/>
        <w:gridCol w:w="1295"/>
      </w:tblGrid>
      <w:tr w:rsidR="00FD1F98" w:rsidRPr="001B2490" w:rsidTr="000E1898">
        <w:tc>
          <w:tcPr>
            <w:tcW w:w="2229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i/>
                <w:lang w:val="ru-RU"/>
              </w:rPr>
            </w:pPr>
          </w:p>
        </w:tc>
        <w:tc>
          <w:tcPr>
            <w:tcW w:w="1386" w:type="pct"/>
            <w:gridSpan w:val="2"/>
            <w:tcBorders>
              <w:bottom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B2490">
              <w:rPr>
                <w:b/>
              </w:rPr>
              <w:t>2023 г.</w:t>
            </w:r>
          </w:p>
        </w:tc>
        <w:tc>
          <w:tcPr>
            <w:tcW w:w="1385" w:type="pct"/>
            <w:gridSpan w:val="2"/>
            <w:tcBorders>
              <w:bottom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B2490">
              <w:rPr>
                <w:b/>
              </w:rPr>
              <w:t>2022 г.</w:t>
            </w:r>
          </w:p>
        </w:tc>
      </w:tr>
      <w:tr w:rsidR="00FD1F98" w:rsidRPr="001B2490" w:rsidTr="000E1898">
        <w:tc>
          <w:tcPr>
            <w:tcW w:w="2229" w:type="pct"/>
            <w:tcBorders>
              <w:bottom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b/>
                <w:i/>
              </w:rPr>
            </w:pPr>
            <w:r w:rsidRPr="001B2490">
              <w:rPr>
                <w:i/>
              </w:rPr>
              <w:t xml:space="preserve">В </w:t>
            </w:r>
            <w:proofErr w:type="spellStart"/>
            <w:r w:rsidRPr="001B2490">
              <w:rPr>
                <w:i/>
              </w:rPr>
              <w:t>тысячах</w:t>
            </w:r>
            <w:proofErr w:type="spellEnd"/>
            <w:r w:rsidRPr="001B2490">
              <w:rPr>
                <w:i/>
              </w:rPr>
              <w:t xml:space="preserve"> </w:t>
            </w:r>
            <w:proofErr w:type="spellStart"/>
            <w:r w:rsidRPr="001B2490">
              <w:rPr>
                <w:i/>
              </w:rPr>
              <w:t>евро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bottom w:val="single" w:sz="4" w:space="0" w:color="000000"/>
            </w:tcBorders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right"/>
              <w:rPr>
                <w:b/>
              </w:rPr>
            </w:pPr>
            <w:proofErr w:type="spellStart"/>
            <w:r w:rsidRPr="001B2490">
              <w:rPr>
                <w:b/>
              </w:rPr>
              <w:t>Расходы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bottom w:val="single" w:sz="4" w:space="0" w:color="000000"/>
            </w:tcBorders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right"/>
              <w:rPr>
                <w:b/>
              </w:rPr>
            </w:pPr>
            <w:proofErr w:type="spellStart"/>
            <w:r w:rsidRPr="001B2490">
              <w:rPr>
                <w:b/>
              </w:rPr>
              <w:t>Начисленное</w:t>
            </w:r>
            <w:proofErr w:type="spellEnd"/>
            <w:r w:rsidRPr="001B2490">
              <w:rPr>
                <w:b/>
              </w:rPr>
              <w:t xml:space="preserve"> </w:t>
            </w:r>
            <w:proofErr w:type="spellStart"/>
            <w:r w:rsidRPr="001B2490">
              <w:rPr>
                <w:b/>
              </w:rPr>
              <w:t>обязатель-ство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bottom w:val="single" w:sz="4" w:space="0" w:color="000000"/>
            </w:tcBorders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right"/>
              <w:rPr>
                <w:b/>
              </w:rPr>
            </w:pPr>
            <w:proofErr w:type="spellStart"/>
            <w:r w:rsidRPr="001B2490">
              <w:rPr>
                <w:b/>
              </w:rPr>
              <w:t>Расходы</w:t>
            </w:r>
            <w:proofErr w:type="spellEnd"/>
          </w:p>
        </w:tc>
        <w:tc>
          <w:tcPr>
            <w:tcW w:w="692" w:type="pct"/>
            <w:tcBorders>
              <w:top w:val="single" w:sz="4" w:space="0" w:color="000000"/>
              <w:bottom w:val="single" w:sz="4" w:space="0" w:color="000000"/>
            </w:tcBorders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right"/>
              <w:rPr>
                <w:b/>
              </w:rPr>
            </w:pPr>
            <w:proofErr w:type="spellStart"/>
            <w:r w:rsidRPr="001B2490">
              <w:rPr>
                <w:b/>
              </w:rPr>
              <w:t>Начисленное</w:t>
            </w:r>
            <w:proofErr w:type="spellEnd"/>
            <w:r w:rsidRPr="001B2490">
              <w:rPr>
                <w:b/>
              </w:rPr>
              <w:t xml:space="preserve"> </w:t>
            </w:r>
            <w:proofErr w:type="spellStart"/>
            <w:r w:rsidRPr="001B2490">
              <w:rPr>
                <w:b/>
              </w:rPr>
              <w:t>обязатель-ство</w:t>
            </w:r>
            <w:proofErr w:type="spellEnd"/>
          </w:p>
        </w:tc>
      </w:tr>
      <w:tr w:rsidR="00FD1F98" w:rsidRPr="001B2490" w:rsidTr="000E1898">
        <w:tc>
          <w:tcPr>
            <w:tcW w:w="2229" w:type="pct"/>
            <w:vAlign w:val="bottom"/>
          </w:tcPr>
          <w:p w:rsidR="00FD1F98" w:rsidRPr="001B2490" w:rsidRDefault="00FD1F98" w:rsidP="000E1898">
            <w:pPr>
              <w:widowControl w:val="0"/>
              <w:ind w:left="113" w:hanging="113"/>
              <w:rPr>
                <w:b/>
              </w:rPr>
            </w:pPr>
            <w:r w:rsidRPr="001B2490">
              <w:rPr>
                <w:b/>
              </w:rPr>
              <w:t> </w:t>
            </w: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2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</w:tr>
      <w:tr w:rsidR="00FD1F98" w:rsidRPr="001B2490" w:rsidTr="000E1898">
        <w:tc>
          <w:tcPr>
            <w:tcW w:w="2229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i/>
              </w:rPr>
            </w:pPr>
            <w:proofErr w:type="spellStart"/>
            <w:r w:rsidRPr="001B2490">
              <w:rPr>
                <w:i/>
              </w:rPr>
              <w:t>Краткосрочные</w:t>
            </w:r>
            <w:proofErr w:type="spellEnd"/>
            <w:r w:rsidRPr="001B2490">
              <w:rPr>
                <w:i/>
              </w:rPr>
              <w:t xml:space="preserve"> </w:t>
            </w:r>
            <w:proofErr w:type="spellStart"/>
            <w:r w:rsidRPr="001B2490">
              <w:rPr>
                <w:i/>
              </w:rPr>
              <w:t>вознаграждения</w:t>
            </w:r>
            <w:proofErr w:type="spellEnd"/>
            <w:r w:rsidRPr="001B2490">
              <w:rPr>
                <w:i/>
              </w:rPr>
              <w:t>:</w:t>
            </w: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2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</w:tr>
      <w:tr w:rsidR="00FD1F98" w:rsidRPr="001B2490" w:rsidTr="000E1898">
        <w:tc>
          <w:tcPr>
            <w:tcW w:w="2229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b/>
              </w:rPr>
            </w:pPr>
            <w:r w:rsidRPr="001B2490">
              <w:t xml:space="preserve">- </w:t>
            </w:r>
            <w:proofErr w:type="spellStart"/>
            <w:r w:rsidRPr="001B2490">
              <w:t>Заработная</w:t>
            </w:r>
            <w:proofErr w:type="spellEnd"/>
            <w:r w:rsidRPr="001B2490">
              <w:t xml:space="preserve"> </w:t>
            </w:r>
            <w:proofErr w:type="spellStart"/>
            <w:r w:rsidRPr="001B2490">
              <w:t>плата</w:t>
            </w:r>
            <w:proofErr w:type="spellEnd"/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 w:rsidRPr="001B2490">
              <w:rPr>
                <w:rFonts w:cs="Arial"/>
                <w:szCs w:val="18"/>
                <w:lang w:val="ru-RU"/>
              </w:rPr>
              <w:t>269,662</w:t>
            </w: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</w:rPr>
            </w:pPr>
            <w:r w:rsidRPr="001B2490">
              <w:rPr>
                <w:bCs/>
              </w:rPr>
              <w:t>34,370</w:t>
            </w: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 w:rsidRPr="001B2490">
              <w:rPr>
                <w:rFonts w:cs="Arial"/>
                <w:szCs w:val="18"/>
                <w:lang w:val="ru-RU"/>
              </w:rPr>
              <w:t>266,658</w:t>
            </w:r>
          </w:p>
        </w:tc>
        <w:tc>
          <w:tcPr>
            <w:tcW w:w="692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lang w:val="ru-RU"/>
              </w:rPr>
            </w:pPr>
            <w:r w:rsidRPr="001B2490">
              <w:rPr>
                <w:bCs/>
                <w:lang w:val="ru-RU"/>
              </w:rPr>
              <w:t>32,851</w:t>
            </w:r>
          </w:p>
        </w:tc>
      </w:tr>
      <w:tr w:rsidR="00FD1F98" w:rsidRPr="001B2490" w:rsidTr="000E1898">
        <w:tc>
          <w:tcPr>
            <w:tcW w:w="2229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</w:pPr>
            <w:r w:rsidRPr="001B2490">
              <w:t xml:space="preserve">- </w:t>
            </w:r>
            <w:proofErr w:type="spellStart"/>
            <w:r w:rsidRPr="001B2490">
              <w:t>Краткосрочные</w:t>
            </w:r>
            <w:proofErr w:type="spellEnd"/>
            <w:r w:rsidRPr="001B2490">
              <w:t xml:space="preserve"> </w:t>
            </w:r>
            <w:proofErr w:type="spellStart"/>
            <w:r w:rsidRPr="001B2490">
              <w:t>премиальные</w:t>
            </w:r>
            <w:proofErr w:type="spellEnd"/>
            <w:r w:rsidRPr="001B2490">
              <w:t xml:space="preserve"> </w:t>
            </w:r>
            <w:proofErr w:type="spellStart"/>
            <w:r w:rsidRPr="001B2490">
              <w:t>выплаты</w:t>
            </w:r>
            <w:proofErr w:type="spellEnd"/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szCs w:val="18"/>
                <w:lang w:val="ru-RU"/>
              </w:rPr>
              <w:t>93,004</w:t>
            </w: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ru-RU"/>
              </w:rPr>
            </w:pPr>
            <w:r w:rsidRPr="001B2490">
              <w:rPr>
                <w:lang w:val="ru-RU"/>
              </w:rPr>
              <w:t>-</w:t>
            </w: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szCs w:val="18"/>
                <w:lang w:val="ru-RU"/>
              </w:rPr>
              <w:t>79,103</w:t>
            </w:r>
          </w:p>
        </w:tc>
        <w:tc>
          <w:tcPr>
            <w:tcW w:w="692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lang w:val="ru-RU"/>
              </w:rPr>
            </w:pPr>
            <w:r w:rsidRPr="001B2490">
              <w:rPr>
                <w:bCs/>
                <w:lang w:val="ru-RU"/>
              </w:rPr>
              <w:t>-</w:t>
            </w:r>
          </w:p>
        </w:tc>
      </w:tr>
      <w:tr w:rsidR="00FD1F98" w:rsidRPr="001B2490" w:rsidTr="000E1898">
        <w:tc>
          <w:tcPr>
            <w:tcW w:w="2229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</w:pPr>
            <w:r w:rsidRPr="001B2490">
              <w:t xml:space="preserve">- </w:t>
            </w:r>
            <w:proofErr w:type="spellStart"/>
            <w:r w:rsidRPr="001B2490">
              <w:t>Выплаты</w:t>
            </w:r>
            <w:proofErr w:type="spellEnd"/>
            <w:r w:rsidRPr="001B2490">
              <w:t xml:space="preserve"> в </w:t>
            </w:r>
            <w:proofErr w:type="spellStart"/>
            <w:r w:rsidRPr="001B2490">
              <w:t>неденежной</w:t>
            </w:r>
            <w:proofErr w:type="spellEnd"/>
            <w:r w:rsidRPr="001B2490">
              <w:t xml:space="preserve"> </w:t>
            </w:r>
            <w:proofErr w:type="spellStart"/>
            <w:r w:rsidRPr="001B2490">
              <w:t>форме</w:t>
            </w:r>
            <w:proofErr w:type="spellEnd"/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szCs w:val="18"/>
                <w:lang w:val="ru-RU"/>
              </w:rPr>
              <w:t>2,965</w:t>
            </w: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ru-RU"/>
              </w:rPr>
            </w:pPr>
            <w:r w:rsidRPr="001B2490">
              <w:rPr>
                <w:lang w:val="ru-RU"/>
              </w:rPr>
              <w:t>-</w:t>
            </w:r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szCs w:val="18"/>
                <w:lang w:val="ru-RU"/>
              </w:rPr>
              <w:t>2,984</w:t>
            </w:r>
          </w:p>
        </w:tc>
        <w:tc>
          <w:tcPr>
            <w:tcW w:w="692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lang w:val="ru-RU"/>
              </w:rPr>
            </w:pPr>
            <w:r w:rsidRPr="001B2490">
              <w:rPr>
                <w:bCs/>
                <w:lang w:val="ru-RU"/>
              </w:rPr>
              <w:t>-</w:t>
            </w:r>
          </w:p>
        </w:tc>
      </w:tr>
      <w:tr w:rsidR="00FD1F98" w:rsidRPr="001B2490" w:rsidTr="000E1898">
        <w:tc>
          <w:tcPr>
            <w:tcW w:w="2229" w:type="pct"/>
            <w:tcBorders>
              <w:bottom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</w:pPr>
            <w:r w:rsidRPr="001B2490">
              <w:rPr>
                <w:b/>
              </w:rPr>
              <w:t> </w:t>
            </w:r>
          </w:p>
        </w:tc>
        <w:tc>
          <w:tcPr>
            <w:tcW w:w="693" w:type="pct"/>
            <w:tcBorders>
              <w:bottom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bottom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bottom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2" w:type="pct"/>
            <w:tcBorders>
              <w:bottom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</w:rPr>
            </w:pPr>
          </w:p>
        </w:tc>
      </w:tr>
      <w:tr w:rsidR="00FD1F98" w:rsidRPr="001B2490" w:rsidTr="000E1898">
        <w:tc>
          <w:tcPr>
            <w:tcW w:w="2229" w:type="pct"/>
            <w:tcBorders>
              <w:top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</w:pPr>
            <w:r w:rsidRPr="001B2490">
              <w:rPr>
                <w:b/>
              </w:rPr>
              <w:t> </w:t>
            </w:r>
          </w:p>
        </w:tc>
        <w:tc>
          <w:tcPr>
            <w:tcW w:w="693" w:type="pct"/>
            <w:tcBorders>
              <w:top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top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top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2" w:type="pct"/>
            <w:tcBorders>
              <w:top w:val="single" w:sz="4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</w:rPr>
            </w:pPr>
          </w:p>
        </w:tc>
      </w:tr>
      <w:tr w:rsidR="00FD1F98" w:rsidRPr="001F6C2B" w:rsidTr="000E1898">
        <w:tc>
          <w:tcPr>
            <w:tcW w:w="2229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b/>
              </w:rPr>
            </w:pPr>
            <w:proofErr w:type="spellStart"/>
            <w:r w:rsidRPr="001B2490">
              <w:rPr>
                <w:b/>
              </w:rPr>
              <w:t>Итого</w:t>
            </w:r>
            <w:proofErr w:type="spellEnd"/>
          </w:p>
        </w:tc>
        <w:tc>
          <w:tcPr>
            <w:tcW w:w="693" w:type="pct"/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b/>
                <w:szCs w:val="18"/>
                <w:lang w:val="ru-RU"/>
              </w:rPr>
              <w:t>365,631</w:t>
            </w:r>
          </w:p>
        </w:tc>
        <w:tc>
          <w:tcPr>
            <w:tcW w:w="693" w:type="pct"/>
            <w:vAlign w:val="bottom"/>
          </w:tcPr>
          <w:p w:rsidR="00FD1F98" w:rsidRPr="001F6C2B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 w:rsidRPr="001F6C2B">
              <w:rPr>
                <w:b/>
              </w:rPr>
              <w:t>34,370</w:t>
            </w:r>
          </w:p>
        </w:tc>
        <w:tc>
          <w:tcPr>
            <w:tcW w:w="693" w:type="pct"/>
            <w:vAlign w:val="bottom"/>
          </w:tcPr>
          <w:p w:rsidR="00FD1F98" w:rsidRPr="001F6C2B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 w:rsidRPr="001F6C2B">
              <w:rPr>
                <w:rFonts w:cs="Arial"/>
                <w:b/>
                <w:szCs w:val="18"/>
                <w:lang w:val="ru-RU"/>
              </w:rPr>
              <w:t>348,745</w:t>
            </w:r>
          </w:p>
        </w:tc>
        <w:tc>
          <w:tcPr>
            <w:tcW w:w="692" w:type="pct"/>
            <w:vAlign w:val="bottom"/>
          </w:tcPr>
          <w:p w:rsidR="00FD1F98" w:rsidRPr="001F6C2B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lang w:val="ru-RU"/>
              </w:rPr>
            </w:pPr>
            <w:r w:rsidRPr="001F6C2B">
              <w:rPr>
                <w:b/>
                <w:bCs/>
                <w:lang w:val="ru-RU"/>
              </w:rPr>
              <w:t>32,851</w:t>
            </w:r>
          </w:p>
        </w:tc>
      </w:tr>
      <w:tr w:rsidR="00FD1F98" w:rsidRPr="001B2490" w:rsidTr="000E1898">
        <w:tc>
          <w:tcPr>
            <w:tcW w:w="2229" w:type="pct"/>
            <w:tcBorders>
              <w:bottom w:val="single" w:sz="12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</w:pPr>
            <w:r w:rsidRPr="001B2490">
              <w:rPr>
                <w:b/>
              </w:rPr>
              <w:t> </w:t>
            </w:r>
          </w:p>
        </w:tc>
        <w:tc>
          <w:tcPr>
            <w:tcW w:w="693" w:type="pct"/>
            <w:tcBorders>
              <w:bottom w:val="single" w:sz="12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bottom w:val="single" w:sz="12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bottom w:val="single" w:sz="12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2" w:type="pct"/>
            <w:tcBorders>
              <w:bottom w:val="single" w:sz="12" w:space="0" w:color="000000"/>
            </w:tcBorders>
            <w:vAlign w:val="bottom"/>
          </w:tcPr>
          <w:p w:rsidR="00FD1F98" w:rsidRPr="001B2490" w:rsidRDefault="00FD1F98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</w:tr>
    </w:tbl>
    <w:p w:rsidR="00E9597F" w:rsidRPr="00FD1F98" w:rsidRDefault="00E9597F" w:rsidP="00D16B8A">
      <w:pPr>
        <w:pStyle w:val="1"/>
        <w:numPr>
          <w:ilvl w:val="0"/>
          <w:numId w:val="0"/>
        </w:numPr>
        <w:spacing w:before="360"/>
        <w:ind w:left="360"/>
      </w:pPr>
      <w:bookmarkStart w:id="1" w:name="_GoBack"/>
      <w:bookmarkEnd w:id="1"/>
    </w:p>
    <w:sectPr w:rsidR="00E9597F" w:rsidRPr="00FD1F98" w:rsidSect="007B0B81">
      <w:pgSz w:w="11907" w:h="16840" w:code="9"/>
      <w:pgMar w:top="1350" w:right="994" w:bottom="1138" w:left="1555" w:header="737" w:footer="52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nivers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B5333"/>
    <w:multiLevelType w:val="multilevel"/>
    <w:tmpl w:val="B6AC801C"/>
    <w:lvl w:ilvl="0">
      <w:start w:val="1"/>
      <w:numFmt w:val="decimal"/>
      <w:pStyle w:val="1"/>
      <w:lvlText w:val="%1"/>
      <w:lvlJc w:val="left"/>
      <w:pPr>
        <w:tabs>
          <w:tab w:val="num" w:pos="9716"/>
        </w:tabs>
        <w:ind w:left="9716" w:hanging="360"/>
      </w:pPr>
      <w:rPr>
        <w:rFonts w:cs="Times New Roman" w:hint="default"/>
        <w:b/>
        <w:i w:val="0"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98"/>
    <w:rsid w:val="001F6C2B"/>
    <w:rsid w:val="006E245C"/>
    <w:rsid w:val="00773725"/>
    <w:rsid w:val="00780A2B"/>
    <w:rsid w:val="009D3A41"/>
    <w:rsid w:val="00A23069"/>
    <w:rsid w:val="00B77323"/>
    <w:rsid w:val="00D02658"/>
    <w:rsid w:val="00D16B8A"/>
    <w:rsid w:val="00E9597F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D440A-8864-496A-859F-B5212BF9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9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">
    <w:name w:val="heading 1"/>
    <w:aliases w:val="numbered indent 1,ni1,h1,Hanging 1 Indent,Header 1,Numbered indent 1"/>
    <w:basedOn w:val="2"/>
    <w:next w:val="a0"/>
    <w:link w:val="10"/>
    <w:qFormat/>
    <w:rsid w:val="00FD1F98"/>
    <w:pPr>
      <w:keepLines w:val="0"/>
      <w:numPr>
        <w:numId w:val="1"/>
      </w:numPr>
      <w:tabs>
        <w:tab w:val="clear" w:pos="9716"/>
        <w:tab w:val="num" w:pos="360"/>
      </w:tabs>
      <w:spacing w:before="0" w:after="240"/>
      <w:ind w:left="360"/>
      <w:jc w:val="both"/>
      <w:outlineLvl w:val="0"/>
    </w:pPr>
    <w:rPr>
      <w:rFonts w:ascii="Arial" w:eastAsia="Times New Roman" w:hAnsi="Arial" w:cs="Times New Roman"/>
      <w:b/>
      <w:iCs/>
      <w:color w:val="auto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numbered indent 1 Знак,ni1 Знак,h1 Знак,Hanging 1 Indent Знак,Header 1 Знак,Numbered indent 1 Знак"/>
    <w:basedOn w:val="a1"/>
    <w:link w:val="1"/>
    <w:rsid w:val="00FD1F98"/>
    <w:rPr>
      <w:rFonts w:ascii="Arial" w:eastAsia="Times New Roman" w:hAnsi="Arial" w:cs="Times New Roman"/>
      <w:b/>
      <w:iCs/>
      <w:sz w:val="20"/>
      <w:szCs w:val="20"/>
      <w:lang w:val="en-GB"/>
    </w:rPr>
  </w:style>
  <w:style w:type="paragraph" w:customStyle="1" w:styleId="ABC-paragrahinNotes">
    <w:name w:val="ABC - paragrah in Notes"/>
    <w:link w:val="ABC-paragrahinNotes0"/>
    <w:qFormat/>
    <w:rsid w:val="00FD1F98"/>
    <w:pPr>
      <w:spacing w:after="240" w:line="240" w:lineRule="auto"/>
      <w:jc w:val="both"/>
    </w:pPr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Tabletext">
    <w:name w:val="Table text"/>
    <w:basedOn w:val="a"/>
    <w:qFormat/>
    <w:rsid w:val="00FD1F98"/>
    <w:pPr>
      <w:ind w:left="85" w:hanging="85"/>
    </w:pPr>
    <w:rPr>
      <w:rFonts w:ascii="Univers 45 Light" w:hAnsi="Univers 45 Light"/>
    </w:rPr>
  </w:style>
  <w:style w:type="paragraph" w:customStyle="1" w:styleId="Columnheader">
    <w:name w:val="Column header"/>
    <w:basedOn w:val="a"/>
    <w:rsid w:val="00FD1F98"/>
    <w:pPr>
      <w:tabs>
        <w:tab w:val="decimal" w:pos="1503"/>
      </w:tabs>
      <w:spacing w:line="228" w:lineRule="auto"/>
      <w:ind w:right="-56"/>
    </w:pPr>
    <w:rPr>
      <w:rFonts w:ascii="Univers 45 Light" w:hAnsi="Univers 45 Light"/>
      <w:b/>
    </w:rPr>
  </w:style>
  <w:style w:type="character" w:customStyle="1" w:styleId="ABC-paragrahinNotes0">
    <w:name w:val="ABC - paragrah in Notes Знак"/>
    <w:basedOn w:val="a1"/>
    <w:link w:val="ABC-paragrahinNotes"/>
    <w:rsid w:val="00FD1F98"/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RRthousands">
    <w:name w:val="RR thousands"/>
    <w:basedOn w:val="a"/>
    <w:link w:val="RRthousandsChar"/>
    <w:rsid w:val="00FD1F98"/>
    <w:pPr>
      <w:ind w:left="86" w:hanging="86"/>
    </w:pPr>
    <w:rPr>
      <w:rFonts w:cs="Arial"/>
      <w:i/>
      <w:snapToGrid w:val="0"/>
      <w:lang w:eastAsia="ru-RU"/>
    </w:rPr>
  </w:style>
  <w:style w:type="paragraph" w:customStyle="1" w:styleId="Tablenumbers1">
    <w:name w:val="Table numbers1"/>
    <w:rsid w:val="00FD1F98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ontinued">
    <w:name w:val="Continued"/>
    <w:qFormat/>
    <w:rsid w:val="00FD1F98"/>
    <w:pPr>
      <w:keepNext/>
      <w:keepLines/>
      <w:pageBreakBefore/>
      <w:tabs>
        <w:tab w:val="left" w:pos="36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RRthousandsChar">
    <w:name w:val="RR thousands Char"/>
    <w:basedOn w:val="a1"/>
    <w:link w:val="RRthousands"/>
    <w:rsid w:val="00FD1F98"/>
    <w:rPr>
      <w:rFonts w:ascii="Arial" w:eastAsia="Times New Roman" w:hAnsi="Arial" w:cs="Arial"/>
      <w:i/>
      <w:snapToGrid w:val="0"/>
      <w:sz w:val="18"/>
      <w:szCs w:val="20"/>
      <w:lang w:val="en-GB" w:eastAsia="ru-RU"/>
    </w:rPr>
  </w:style>
  <w:style w:type="paragraph" w:customStyle="1" w:styleId="ABCTitle">
    <w:name w:val="ABC Title"/>
    <w:basedOn w:val="2"/>
    <w:rsid w:val="00FD1F98"/>
    <w:pPr>
      <w:keepLines w:val="0"/>
      <w:tabs>
        <w:tab w:val="left" w:pos="2268"/>
      </w:tabs>
      <w:spacing w:before="60"/>
      <w:outlineLvl w:val="9"/>
    </w:pPr>
    <w:rPr>
      <w:rFonts w:ascii="Arial" w:eastAsia="Times New Roman" w:hAnsi="Arial" w:cs="Times New Roman"/>
      <w:b/>
      <w:smallCaps/>
      <w:color w:val="auto"/>
      <w:sz w:val="20"/>
      <w:szCs w:val="20"/>
      <w:lang w:val="en-US"/>
    </w:rPr>
  </w:style>
  <w:style w:type="paragraph" w:customStyle="1" w:styleId="xmsonormal">
    <w:name w:val="x_msonormal"/>
    <w:basedOn w:val="a"/>
    <w:rsid w:val="00FD1F98"/>
    <w:rPr>
      <w:rFonts w:ascii="Times New Roman" w:eastAsiaTheme="minorHAnsi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D1F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FD1F9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D1F98"/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Есенхановна Смагулова</dc:creator>
  <cp:keywords/>
  <dc:description/>
  <cp:lastModifiedBy>Назгуль Есенхановна Смагулова</cp:lastModifiedBy>
  <cp:revision>4</cp:revision>
  <dcterms:created xsi:type="dcterms:W3CDTF">2024-06-24T11:56:00Z</dcterms:created>
  <dcterms:modified xsi:type="dcterms:W3CDTF">2024-07-03T04:36:00Z</dcterms:modified>
</cp:coreProperties>
</file>